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5D" w:rsidRPr="00AC1C5D" w:rsidRDefault="00AC1C5D" w:rsidP="00AC1C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C1C5D">
        <w:rPr>
          <w:rFonts w:ascii="Times New Roman" w:eastAsia="Times New Roman" w:hAnsi="Times New Roman" w:cs="Times New Roman"/>
          <w:b/>
          <w:bCs/>
          <w:kern w:val="36"/>
          <w:sz w:val="48"/>
          <w:szCs w:val="48"/>
          <w:lang w:eastAsia="ru-RU"/>
        </w:rPr>
        <w:t>Уровни террористической опасности</w:t>
      </w:r>
    </w:p>
    <w:p w:rsidR="00AC1C5D" w:rsidRPr="00AC1C5D" w:rsidRDefault="00AC1C5D" w:rsidP="00AC1C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905000"/>
            <wp:effectExtent l="0" t="0" r="0" b="0"/>
            <wp:docPr id="11" name="Рисунок 11" descr="Уровни террористической 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овни террористической опаснос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AC1C5D">
        <w:rPr>
          <w:rFonts w:ascii="Times New Roman" w:eastAsia="Times New Roman" w:hAnsi="Times New Roman" w:cs="Times New Roman"/>
          <w:sz w:val="24"/>
          <w:szCs w:val="24"/>
          <w:lang w:eastAsia="ru-RU"/>
        </w:rPr>
        <w:t>В соответствии с Федеральным законом от 6 марта 2006 г. № 35-ФЗ «О противодействии терроризму»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Национальным антитеррористическим комитетом во взаимодействии с федеральными органами исполнительной власти, органами государственной власти субъектов Российской Федерации, органами местного самоуправления и  в соответствии с указом Президента Российской Федерации от</w:t>
      </w:r>
      <w:proofErr w:type="gramEnd"/>
      <w:r w:rsidRPr="00AC1C5D">
        <w:rPr>
          <w:rFonts w:ascii="Times New Roman" w:eastAsia="Times New Roman" w:hAnsi="Times New Roman" w:cs="Times New Roman"/>
          <w:sz w:val="24"/>
          <w:szCs w:val="24"/>
          <w:lang w:eastAsia="ru-RU"/>
        </w:rPr>
        <w:t xml:space="preserve"> 14 июня 2012 г. № 851 могут устанавливаться уровни террористической опасности, предусматривающие принятие дополнительных мер по обеспечению безопасности личности, общества и государства.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На отдельных участках территории Российской Федерации (объектах) могут устанавливаться следующие уровни террористической опасности: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 xml:space="preserve">а) </w:t>
      </w:r>
      <w:proofErr w:type="gramStart"/>
      <w:r w:rsidRPr="00AC1C5D">
        <w:rPr>
          <w:rFonts w:ascii="Times New Roman" w:eastAsia="Times New Roman" w:hAnsi="Times New Roman" w:cs="Times New Roman"/>
          <w:b/>
          <w:bCs/>
          <w:sz w:val="24"/>
          <w:szCs w:val="24"/>
          <w:lang w:eastAsia="ru-RU"/>
        </w:rPr>
        <w:t>повышенный</w:t>
      </w:r>
      <w:proofErr w:type="gramEnd"/>
      <w:r w:rsidRPr="00AC1C5D">
        <w:rPr>
          <w:rFonts w:ascii="Times New Roman" w:eastAsia="Times New Roman" w:hAnsi="Times New Roman" w:cs="Times New Roman"/>
          <w:b/>
          <w:bCs/>
          <w:sz w:val="24"/>
          <w:szCs w:val="24"/>
          <w:lang w:eastAsia="ru-RU"/>
        </w:rPr>
        <w:t xml:space="preserve"> ("синий")</w:t>
      </w:r>
      <w:r w:rsidRPr="00AC1C5D">
        <w:rPr>
          <w:rFonts w:ascii="Times New Roman" w:eastAsia="Times New Roman" w:hAnsi="Times New Roman" w:cs="Times New Roman"/>
          <w:sz w:val="24"/>
          <w:szCs w:val="24"/>
          <w:lang w:eastAsia="ru-RU"/>
        </w:rPr>
        <w:t xml:space="preserve"> - при наличии требующей подтверждения информации о реальной возможности совершения террористического акта;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 xml:space="preserve">б) </w:t>
      </w:r>
      <w:proofErr w:type="gramStart"/>
      <w:r w:rsidRPr="00AC1C5D">
        <w:rPr>
          <w:rFonts w:ascii="Times New Roman" w:eastAsia="Times New Roman" w:hAnsi="Times New Roman" w:cs="Times New Roman"/>
          <w:b/>
          <w:bCs/>
          <w:sz w:val="24"/>
          <w:szCs w:val="24"/>
          <w:lang w:eastAsia="ru-RU"/>
        </w:rPr>
        <w:t>высокий</w:t>
      </w:r>
      <w:proofErr w:type="gramEnd"/>
      <w:r w:rsidRPr="00AC1C5D">
        <w:rPr>
          <w:rFonts w:ascii="Times New Roman" w:eastAsia="Times New Roman" w:hAnsi="Times New Roman" w:cs="Times New Roman"/>
          <w:b/>
          <w:bCs/>
          <w:sz w:val="24"/>
          <w:szCs w:val="24"/>
          <w:lang w:eastAsia="ru-RU"/>
        </w:rPr>
        <w:t xml:space="preserve"> ("желтый")</w:t>
      </w:r>
      <w:r w:rsidRPr="00AC1C5D">
        <w:rPr>
          <w:rFonts w:ascii="Times New Roman" w:eastAsia="Times New Roman" w:hAnsi="Times New Roman" w:cs="Times New Roman"/>
          <w:sz w:val="24"/>
          <w:szCs w:val="24"/>
          <w:lang w:eastAsia="ru-RU"/>
        </w:rPr>
        <w:t xml:space="preserve"> - при наличии подтвержденной информации о реальной возможности совершения террористического акта;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в) критический ("красный")</w:t>
      </w:r>
      <w:r w:rsidRPr="00AC1C5D">
        <w:rPr>
          <w:rFonts w:ascii="Times New Roman" w:eastAsia="Times New Roman" w:hAnsi="Times New Roman" w:cs="Times New Roman"/>
          <w:sz w:val="24"/>
          <w:szCs w:val="24"/>
          <w:lang w:eastAsia="ru-RU"/>
        </w:rPr>
        <w:t xml:space="preserve">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lastRenderedPageBreak/>
        <w:t xml:space="preserve">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rsidRPr="00AC1C5D">
        <w:rPr>
          <w:rFonts w:ascii="Times New Roman" w:eastAsia="Times New Roman" w:hAnsi="Times New Roman" w:cs="Times New Roman"/>
          <w:sz w:val="24"/>
          <w:szCs w:val="24"/>
          <w:lang w:eastAsia="ru-RU"/>
        </w:rP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r:id="rId7" w:anchor="sub_1009" w:history="1">
        <w:r w:rsidRPr="00AC1C5D">
          <w:rPr>
            <w:rFonts w:ascii="Times New Roman" w:eastAsia="Times New Roman" w:hAnsi="Times New Roman" w:cs="Times New Roman"/>
            <w:color w:val="0000FF"/>
            <w:sz w:val="24"/>
            <w:szCs w:val="24"/>
            <w:u w:val="single"/>
            <w:lang w:eastAsia="ru-RU"/>
          </w:rPr>
          <w:t>пунктом 9</w:t>
        </w:r>
      </w:hyperlink>
      <w:r w:rsidRPr="00AC1C5D">
        <w:rPr>
          <w:rFonts w:ascii="Times New Roman" w:eastAsia="Times New Roman" w:hAnsi="Times New Roman" w:cs="Times New Roman"/>
          <w:sz w:val="24"/>
          <w:szCs w:val="24"/>
          <w:lang w:eastAsia="ru-RU"/>
        </w:rPr>
        <w:t xml:space="preserve"> настоящего Порядка.</w:t>
      </w:r>
      <w:proofErr w:type="gramEnd"/>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AC1C5D">
        <w:rPr>
          <w:rFonts w:ascii="Times New Roman" w:eastAsia="Times New Roman" w:hAnsi="Times New Roman" w:cs="Times New Roman"/>
          <w:sz w:val="24"/>
          <w:szCs w:val="24"/>
          <w:lang w:eastAsia="ru-RU"/>
        </w:rPr>
        <w:t>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AC1C5D">
        <w:rPr>
          <w:rFonts w:ascii="Times New Roman" w:eastAsia="Times New Roman" w:hAnsi="Times New Roman" w:cs="Times New Roman"/>
          <w:sz w:val="24"/>
          <w:szCs w:val="24"/>
          <w:lang w:eastAsia="ru-RU"/>
        </w:rPr>
        <w:t>Председатель Национального антитеррористического комитета при наличии информации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 Федерации (объекты), в пределах которых</w:t>
      </w:r>
      <w:proofErr w:type="gramEnd"/>
      <w:r w:rsidRPr="00AC1C5D">
        <w:rPr>
          <w:rFonts w:ascii="Times New Roman" w:eastAsia="Times New Roman" w:hAnsi="Times New Roman" w:cs="Times New Roman"/>
          <w:sz w:val="24"/>
          <w:szCs w:val="24"/>
          <w:lang w:eastAsia="ru-RU"/>
        </w:rPr>
        <w:t xml:space="preserve"> (</w:t>
      </w:r>
      <w:proofErr w:type="gramStart"/>
      <w:r w:rsidRPr="00AC1C5D">
        <w:rPr>
          <w:rFonts w:ascii="Times New Roman" w:eastAsia="Times New Roman" w:hAnsi="Times New Roman" w:cs="Times New Roman"/>
          <w:sz w:val="24"/>
          <w:szCs w:val="24"/>
          <w:lang w:eastAsia="ru-RU"/>
        </w:rPr>
        <w:t xml:space="preserve">на которых) он устанавливается, и перечень дополнительных мер, предусмотренных </w:t>
      </w:r>
      <w:hyperlink r:id="rId8" w:anchor="sub_1009" w:history="1">
        <w:r w:rsidRPr="00AC1C5D">
          <w:rPr>
            <w:rFonts w:ascii="Times New Roman" w:eastAsia="Times New Roman" w:hAnsi="Times New Roman" w:cs="Times New Roman"/>
            <w:color w:val="0000FF"/>
            <w:sz w:val="24"/>
            <w:szCs w:val="24"/>
            <w:u w:val="single"/>
            <w:lang w:eastAsia="ru-RU"/>
          </w:rPr>
          <w:t>пунктом 9</w:t>
        </w:r>
      </w:hyperlink>
      <w:r w:rsidRPr="00AC1C5D">
        <w:rPr>
          <w:rFonts w:ascii="Times New Roman" w:eastAsia="Times New Roman" w:hAnsi="Times New Roman" w:cs="Times New Roman"/>
          <w:sz w:val="24"/>
          <w:szCs w:val="24"/>
          <w:lang w:eastAsia="ru-RU"/>
        </w:rPr>
        <w:t xml:space="preserve"> настоящего Порядка.</w:t>
      </w:r>
      <w:proofErr w:type="gramEnd"/>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Уровень террористической опасности может устанавливаться на срок не более 15 суток.</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AC1C5D">
        <w:rPr>
          <w:rFonts w:ascii="Times New Roman" w:eastAsia="Times New Roman" w:hAnsi="Times New Roman" w:cs="Times New Roman"/>
          <w:sz w:val="24"/>
          <w:szCs w:val="24"/>
          <w:lang w:eastAsia="ru-RU"/>
        </w:rP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а) при повышенном ("синем") уровне террористической опасности: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внеплановые мероприятия по проверке информации о возможном совершении террористического акта;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lastRenderedPageBreak/>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своевременное информирование населения о том, как вести себя в условиях угрозы совершения террористического акта;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AC1C5D">
        <w:rPr>
          <w:rFonts w:ascii="Times New Roman" w:eastAsia="Times New Roman" w:hAnsi="Times New Roman" w:cs="Times New Roman"/>
          <w:sz w:val="24"/>
          <w:szCs w:val="24"/>
          <w:lang w:eastAsia="ru-RU"/>
        </w:rP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rsidRPr="00AC1C5D">
        <w:rPr>
          <w:rFonts w:ascii="Times New Roman" w:eastAsia="Times New Roman" w:hAnsi="Times New Roman" w:cs="Times New Roman"/>
          <w:sz w:val="24"/>
          <w:szCs w:val="24"/>
          <w:lang w:eastAsia="ru-RU"/>
        </w:rP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lastRenderedPageBreak/>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перевод соответствующих медицинских организаций в режим повышенной готовности;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b/>
          <w:bCs/>
          <w:sz w:val="24"/>
          <w:szCs w:val="24"/>
          <w:lang w:eastAsia="ru-RU"/>
        </w:rP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приведение в состояние готовности группировки сил и средств, созданной для проведения контртеррористической операции;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перевод соответствующих медицинских организаций в режим чрезвычайной ситуации;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усиление охраны наиболее вероятных объектов террористических посягательств;</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принятие неотложных мер по спасению людей, охране имущества, оставшегося без присмотра, содействие бесперебойной работе спасательных служб;</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усиление контроля за передвижением транспортных средств через административные границ</w:t>
      </w:r>
      <w:bookmarkStart w:id="0" w:name="_GoBack"/>
      <w:bookmarkEnd w:id="0"/>
      <w:r w:rsidRPr="00AC1C5D">
        <w:rPr>
          <w:rFonts w:ascii="Times New Roman" w:eastAsia="Times New Roman" w:hAnsi="Times New Roman" w:cs="Times New Roman"/>
          <w:sz w:val="24"/>
          <w:szCs w:val="24"/>
          <w:lang w:eastAsia="ru-RU"/>
        </w:rPr>
        <w:t>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rsidRPr="00AC1C5D">
        <w:rPr>
          <w:rFonts w:ascii="Times New Roman" w:eastAsia="Times New Roman" w:hAnsi="Times New Roman" w:cs="Times New Roman"/>
          <w:sz w:val="24"/>
          <w:szCs w:val="24"/>
          <w:lang w:eastAsia="ru-RU"/>
        </w:rPr>
        <w:t>дств с пр</w:t>
      </w:r>
      <w:proofErr w:type="gramEnd"/>
      <w:r w:rsidRPr="00AC1C5D">
        <w:rPr>
          <w:rFonts w:ascii="Times New Roman" w:eastAsia="Times New Roman" w:hAnsi="Times New Roman" w:cs="Times New Roman"/>
          <w:sz w:val="24"/>
          <w:szCs w:val="24"/>
          <w:lang w:eastAsia="ru-RU"/>
        </w:rPr>
        <w:t>именением технических средств обнаружения оружия и взрывчатых веществ.</w:t>
      </w:r>
    </w:p>
    <w:p w:rsidR="00AC1C5D" w:rsidRPr="00AC1C5D" w:rsidRDefault="00AC1C5D" w:rsidP="00AC1C5D">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AC1C5D">
        <w:rPr>
          <w:rFonts w:ascii="Times New Roman" w:eastAsia="Times New Roman" w:hAnsi="Times New Roman" w:cs="Times New Roman"/>
          <w:sz w:val="24"/>
          <w:szCs w:val="24"/>
          <w:lang w:eastAsia="ru-RU"/>
        </w:rPr>
        <w:t>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вышеперечисленные меры.</w:t>
      </w:r>
    </w:p>
    <w:p w:rsidR="00792B61" w:rsidRDefault="00792B61" w:rsidP="00AC1C5D">
      <w:pPr>
        <w:ind w:firstLine="709"/>
        <w:jc w:val="both"/>
      </w:pPr>
    </w:p>
    <w:sectPr w:rsidR="00792B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95054"/>
    <w:multiLevelType w:val="multilevel"/>
    <w:tmpl w:val="BC6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B0"/>
    <w:rsid w:val="00792B61"/>
    <w:rsid w:val="00AC1C5D"/>
    <w:rsid w:val="00E9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1C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C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1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1C5D"/>
    <w:rPr>
      <w:b/>
      <w:bCs/>
    </w:rPr>
  </w:style>
  <w:style w:type="character" w:styleId="a5">
    <w:name w:val="Hyperlink"/>
    <w:basedOn w:val="a0"/>
    <w:uiPriority w:val="99"/>
    <w:semiHidden/>
    <w:unhideWhenUsed/>
    <w:rsid w:val="00AC1C5D"/>
    <w:rPr>
      <w:color w:val="0000FF"/>
      <w:u w:val="single"/>
    </w:rPr>
  </w:style>
  <w:style w:type="paragraph" w:styleId="a6">
    <w:name w:val="Balloon Text"/>
    <w:basedOn w:val="a"/>
    <w:link w:val="a7"/>
    <w:uiPriority w:val="99"/>
    <w:semiHidden/>
    <w:unhideWhenUsed/>
    <w:rsid w:val="00AC1C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1C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1C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C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C1C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1C5D"/>
    <w:rPr>
      <w:b/>
      <w:bCs/>
    </w:rPr>
  </w:style>
  <w:style w:type="character" w:styleId="a5">
    <w:name w:val="Hyperlink"/>
    <w:basedOn w:val="a0"/>
    <w:uiPriority w:val="99"/>
    <w:semiHidden/>
    <w:unhideWhenUsed/>
    <w:rsid w:val="00AC1C5D"/>
    <w:rPr>
      <w:color w:val="0000FF"/>
      <w:u w:val="single"/>
    </w:rPr>
  </w:style>
  <w:style w:type="paragraph" w:styleId="a6">
    <w:name w:val="Balloon Text"/>
    <w:basedOn w:val="a"/>
    <w:link w:val="a7"/>
    <w:uiPriority w:val="99"/>
    <w:semiHidden/>
    <w:unhideWhenUsed/>
    <w:rsid w:val="00AC1C5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1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7087">
      <w:bodyDiv w:val="1"/>
      <w:marLeft w:val="0"/>
      <w:marRight w:val="0"/>
      <w:marTop w:val="0"/>
      <w:marBottom w:val="0"/>
      <w:divBdr>
        <w:top w:val="none" w:sz="0" w:space="0" w:color="auto"/>
        <w:left w:val="none" w:sz="0" w:space="0" w:color="auto"/>
        <w:bottom w:val="none" w:sz="0" w:space="0" w:color="auto"/>
        <w:right w:val="none" w:sz="0" w:space="0" w:color="auto"/>
      </w:divBdr>
      <w:divsChild>
        <w:div w:id="1300770628">
          <w:marLeft w:val="0"/>
          <w:marRight w:val="0"/>
          <w:marTop w:val="0"/>
          <w:marBottom w:val="0"/>
          <w:divBdr>
            <w:top w:val="none" w:sz="0" w:space="0" w:color="auto"/>
            <w:left w:val="none" w:sz="0" w:space="0" w:color="auto"/>
            <w:bottom w:val="none" w:sz="0" w:space="0" w:color="auto"/>
            <w:right w:val="none" w:sz="0" w:space="0" w:color="auto"/>
          </w:divBdr>
          <w:divsChild>
            <w:div w:id="520364129">
              <w:marLeft w:val="0"/>
              <w:marRight w:val="0"/>
              <w:marTop w:val="0"/>
              <w:marBottom w:val="0"/>
              <w:divBdr>
                <w:top w:val="none" w:sz="0" w:space="0" w:color="auto"/>
                <w:left w:val="none" w:sz="0" w:space="0" w:color="auto"/>
                <w:bottom w:val="none" w:sz="0" w:space="0" w:color="auto"/>
                <w:right w:val="none" w:sz="0" w:space="0" w:color="auto"/>
              </w:divBdr>
              <w:divsChild>
                <w:div w:id="1557424934">
                  <w:marLeft w:val="0"/>
                  <w:marRight w:val="0"/>
                  <w:marTop w:val="0"/>
                  <w:marBottom w:val="0"/>
                  <w:divBdr>
                    <w:top w:val="none" w:sz="0" w:space="0" w:color="auto"/>
                    <w:left w:val="none" w:sz="0" w:space="0" w:color="auto"/>
                    <w:bottom w:val="none" w:sz="0" w:space="0" w:color="auto"/>
                    <w:right w:val="none" w:sz="0" w:space="0" w:color="auto"/>
                  </w:divBdr>
                  <w:divsChild>
                    <w:div w:id="1120226269">
                      <w:marLeft w:val="0"/>
                      <w:marRight w:val="0"/>
                      <w:marTop w:val="0"/>
                      <w:marBottom w:val="0"/>
                      <w:divBdr>
                        <w:top w:val="none" w:sz="0" w:space="0" w:color="auto"/>
                        <w:left w:val="none" w:sz="0" w:space="0" w:color="auto"/>
                        <w:bottom w:val="none" w:sz="0" w:space="0" w:color="auto"/>
                        <w:right w:val="none" w:sz="0" w:space="0" w:color="auto"/>
                      </w:divBdr>
                    </w:div>
                    <w:div w:id="281039620">
                      <w:marLeft w:val="0"/>
                      <w:marRight w:val="0"/>
                      <w:marTop w:val="0"/>
                      <w:marBottom w:val="0"/>
                      <w:divBdr>
                        <w:top w:val="none" w:sz="0" w:space="0" w:color="auto"/>
                        <w:left w:val="none" w:sz="0" w:space="0" w:color="auto"/>
                        <w:bottom w:val="none" w:sz="0" w:space="0" w:color="auto"/>
                        <w:right w:val="none" w:sz="0" w:space="0" w:color="auto"/>
                      </w:divBdr>
                      <w:divsChild>
                        <w:div w:id="1738357247">
                          <w:marLeft w:val="0"/>
                          <w:marRight w:val="0"/>
                          <w:marTop w:val="0"/>
                          <w:marBottom w:val="0"/>
                          <w:divBdr>
                            <w:top w:val="none" w:sz="0" w:space="0" w:color="auto"/>
                            <w:left w:val="none" w:sz="0" w:space="0" w:color="auto"/>
                            <w:bottom w:val="none" w:sz="0" w:space="0" w:color="auto"/>
                            <w:right w:val="none" w:sz="0" w:space="0" w:color="auto"/>
                          </w:divBdr>
                          <w:divsChild>
                            <w:div w:id="609094389">
                              <w:marLeft w:val="0"/>
                              <w:marRight w:val="0"/>
                              <w:marTop w:val="0"/>
                              <w:marBottom w:val="0"/>
                              <w:divBdr>
                                <w:top w:val="none" w:sz="0" w:space="0" w:color="auto"/>
                                <w:left w:val="none" w:sz="0" w:space="0" w:color="auto"/>
                                <w:bottom w:val="none" w:sz="0" w:space="0" w:color="auto"/>
                                <w:right w:val="none" w:sz="0" w:space="0" w:color="auto"/>
                              </w:divBdr>
                              <w:divsChild>
                                <w:div w:id="32341535">
                                  <w:marLeft w:val="0"/>
                                  <w:marRight w:val="0"/>
                                  <w:marTop w:val="0"/>
                                  <w:marBottom w:val="0"/>
                                  <w:divBdr>
                                    <w:top w:val="none" w:sz="0" w:space="0" w:color="auto"/>
                                    <w:left w:val="none" w:sz="0" w:space="0" w:color="auto"/>
                                    <w:bottom w:val="none" w:sz="0" w:space="0" w:color="auto"/>
                                    <w:right w:val="none" w:sz="0" w:space="0" w:color="auto"/>
                                  </w:divBdr>
                                  <w:divsChild>
                                    <w:div w:id="418599314">
                                      <w:marLeft w:val="0"/>
                                      <w:marRight w:val="0"/>
                                      <w:marTop w:val="0"/>
                                      <w:marBottom w:val="0"/>
                                      <w:divBdr>
                                        <w:top w:val="none" w:sz="0" w:space="0" w:color="auto"/>
                                        <w:left w:val="none" w:sz="0" w:space="0" w:color="auto"/>
                                        <w:bottom w:val="none" w:sz="0" w:space="0" w:color="auto"/>
                                        <w:right w:val="none" w:sz="0" w:space="0" w:color="auto"/>
                                      </w:divBdr>
                                      <w:divsChild>
                                        <w:div w:id="1926499513">
                                          <w:marLeft w:val="0"/>
                                          <w:marRight w:val="0"/>
                                          <w:marTop w:val="0"/>
                                          <w:marBottom w:val="0"/>
                                          <w:divBdr>
                                            <w:top w:val="none" w:sz="0" w:space="0" w:color="auto"/>
                                            <w:left w:val="none" w:sz="0" w:space="0" w:color="auto"/>
                                            <w:bottom w:val="none" w:sz="0" w:space="0" w:color="auto"/>
                                            <w:right w:val="none" w:sz="0" w:space="0" w:color="auto"/>
                                          </w:divBdr>
                                        </w:div>
                                      </w:divsChild>
                                    </w:div>
                                    <w:div w:id="2143647572">
                                      <w:marLeft w:val="0"/>
                                      <w:marRight w:val="0"/>
                                      <w:marTop w:val="0"/>
                                      <w:marBottom w:val="0"/>
                                      <w:divBdr>
                                        <w:top w:val="none" w:sz="0" w:space="0" w:color="auto"/>
                                        <w:left w:val="none" w:sz="0" w:space="0" w:color="auto"/>
                                        <w:bottom w:val="none" w:sz="0" w:space="0" w:color="auto"/>
                                        <w:right w:val="none" w:sz="0" w:space="0" w:color="auto"/>
                                      </w:divBdr>
                                      <w:divsChild>
                                        <w:div w:id="2134860977">
                                          <w:marLeft w:val="0"/>
                                          <w:marRight w:val="0"/>
                                          <w:marTop w:val="0"/>
                                          <w:marBottom w:val="0"/>
                                          <w:divBdr>
                                            <w:top w:val="none" w:sz="0" w:space="0" w:color="auto"/>
                                            <w:left w:val="none" w:sz="0" w:space="0" w:color="auto"/>
                                            <w:bottom w:val="none" w:sz="0" w:space="0" w:color="auto"/>
                                            <w:right w:val="none" w:sz="0" w:space="0" w:color="auto"/>
                                          </w:divBdr>
                                          <w:divsChild>
                                            <w:div w:id="2063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26316">
                  <w:marLeft w:val="0"/>
                  <w:marRight w:val="0"/>
                  <w:marTop w:val="0"/>
                  <w:marBottom w:val="0"/>
                  <w:divBdr>
                    <w:top w:val="none" w:sz="0" w:space="0" w:color="auto"/>
                    <w:left w:val="none" w:sz="0" w:space="0" w:color="auto"/>
                    <w:bottom w:val="none" w:sz="0" w:space="0" w:color="auto"/>
                    <w:right w:val="none" w:sz="0" w:space="0" w:color="auto"/>
                  </w:divBdr>
                  <w:divsChild>
                    <w:div w:id="1926955819">
                      <w:marLeft w:val="0"/>
                      <w:marRight w:val="0"/>
                      <w:marTop w:val="0"/>
                      <w:marBottom w:val="0"/>
                      <w:divBdr>
                        <w:top w:val="none" w:sz="0" w:space="0" w:color="auto"/>
                        <w:left w:val="none" w:sz="0" w:space="0" w:color="auto"/>
                        <w:bottom w:val="none" w:sz="0" w:space="0" w:color="auto"/>
                        <w:right w:val="none" w:sz="0" w:space="0" w:color="auto"/>
                      </w:divBdr>
                    </w:div>
                    <w:div w:id="676347083">
                      <w:marLeft w:val="0"/>
                      <w:marRight w:val="0"/>
                      <w:marTop w:val="0"/>
                      <w:marBottom w:val="0"/>
                      <w:divBdr>
                        <w:top w:val="none" w:sz="0" w:space="0" w:color="auto"/>
                        <w:left w:val="none" w:sz="0" w:space="0" w:color="auto"/>
                        <w:bottom w:val="none" w:sz="0" w:space="0" w:color="auto"/>
                        <w:right w:val="none" w:sz="0" w:space="0" w:color="auto"/>
                      </w:divBdr>
                      <w:divsChild>
                        <w:div w:id="2028367113">
                          <w:marLeft w:val="0"/>
                          <w:marRight w:val="0"/>
                          <w:marTop w:val="0"/>
                          <w:marBottom w:val="0"/>
                          <w:divBdr>
                            <w:top w:val="none" w:sz="0" w:space="0" w:color="auto"/>
                            <w:left w:val="none" w:sz="0" w:space="0" w:color="auto"/>
                            <w:bottom w:val="none" w:sz="0" w:space="0" w:color="auto"/>
                            <w:right w:val="none" w:sz="0" w:space="0" w:color="auto"/>
                          </w:divBdr>
                          <w:divsChild>
                            <w:div w:id="1946687616">
                              <w:marLeft w:val="0"/>
                              <w:marRight w:val="0"/>
                              <w:marTop w:val="0"/>
                              <w:marBottom w:val="0"/>
                              <w:divBdr>
                                <w:top w:val="none" w:sz="0" w:space="0" w:color="auto"/>
                                <w:left w:val="none" w:sz="0" w:space="0" w:color="auto"/>
                                <w:bottom w:val="none" w:sz="0" w:space="0" w:color="auto"/>
                                <w:right w:val="none" w:sz="0" w:space="0" w:color="auto"/>
                              </w:divBdr>
                              <w:divsChild>
                                <w:div w:id="268859960">
                                  <w:marLeft w:val="0"/>
                                  <w:marRight w:val="0"/>
                                  <w:marTop w:val="0"/>
                                  <w:marBottom w:val="0"/>
                                  <w:divBdr>
                                    <w:top w:val="none" w:sz="0" w:space="0" w:color="auto"/>
                                    <w:left w:val="none" w:sz="0" w:space="0" w:color="auto"/>
                                    <w:bottom w:val="none" w:sz="0" w:space="0" w:color="auto"/>
                                    <w:right w:val="none" w:sz="0" w:space="0" w:color="auto"/>
                                  </w:divBdr>
                                </w:div>
                                <w:div w:id="1381781910">
                                  <w:marLeft w:val="0"/>
                                  <w:marRight w:val="0"/>
                                  <w:marTop w:val="0"/>
                                  <w:marBottom w:val="0"/>
                                  <w:divBdr>
                                    <w:top w:val="none" w:sz="0" w:space="0" w:color="auto"/>
                                    <w:left w:val="none" w:sz="0" w:space="0" w:color="auto"/>
                                    <w:bottom w:val="none" w:sz="0" w:space="0" w:color="auto"/>
                                    <w:right w:val="none" w:sz="0" w:space="0" w:color="auto"/>
                                  </w:divBdr>
                                </w:div>
                                <w:div w:id="420566093">
                                  <w:marLeft w:val="0"/>
                                  <w:marRight w:val="0"/>
                                  <w:marTop w:val="0"/>
                                  <w:marBottom w:val="0"/>
                                  <w:divBdr>
                                    <w:top w:val="none" w:sz="0" w:space="0" w:color="auto"/>
                                    <w:left w:val="none" w:sz="0" w:space="0" w:color="auto"/>
                                    <w:bottom w:val="none" w:sz="0" w:space="0" w:color="auto"/>
                                    <w:right w:val="none" w:sz="0" w:space="0" w:color="auto"/>
                                  </w:divBdr>
                                </w:div>
                                <w:div w:id="730542750">
                                  <w:marLeft w:val="0"/>
                                  <w:marRight w:val="0"/>
                                  <w:marTop w:val="0"/>
                                  <w:marBottom w:val="0"/>
                                  <w:divBdr>
                                    <w:top w:val="none" w:sz="0" w:space="0" w:color="auto"/>
                                    <w:left w:val="none" w:sz="0" w:space="0" w:color="auto"/>
                                    <w:bottom w:val="none" w:sz="0" w:space="0" w:color="auto"/>
                                    <w:right w:val="none" w:sz="0" w:space="0" w:color="auto"/>
                                  </w:divBdr>
                                </w:div>
                                <w:div w:id="1983190174">
                                  <w:marLeft w:val="0"/>
                                  <w:marRight w:val="0"/>
                                  <w:marTop w:val="0"/>
                                  <w:marBottom w:val="0"/>
                                  <w:divBdr>
                                    <w:top w:val="none" w:sz="0" w:space="0" w:color="auto"/>
                                    <w:left w:val="none" w:sz="0" w:space="0" w:color="auto"/>
                                    <w:bottom w:val="none" w:sz="0" w:space="0" w:color="auto"/>
                                    <w:right w:val="none" w:sz="0" w:space="0" w:color="auto"/>
                                  </w:divBdr>
                                </w:div>
                                <w:div w:id="19873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18913">
                      <w:marLeft w:val="0"/>
                      <w:marRight w:val="0"/>
                      <w:marTop w:val="0"/>
                      <w:marBottom w:val="0"/>
                      <w:divBdr>
                        <w:top w:val="none" w:sz="0" w:space="0" w:color="auto"/>
                        <w:left w:val="none" w:sz="0" w:space="0" w:color="auto"/>
                        <w:bottom w:val="none" w:sz="0" w:space="0" w:color="auto"/>
                        <w:right w:val="none" w:sz="0" w:space="0" w:color="auto"/>
                      </w:divBdr>
                      <w:divsChild>
                        <w:div w:id="961810612">
                          <w:marLeft w:val="0"/>
                          <w:marRight w:val="0"/>
                          <w:marTop w:val="0"/>
                          <w:marBottom w:val="0"/>
                          <w:divBdr>
                            <w:top w:val="none" w:sz="0" w:space="0" w:color="auto"/>
                            <w:left w:val="none" w:sz="0" w:space="0" w:color="auto"/>
                            <w:bottom w:val="none" w:sz="0" w:space="0" w:color="auto"/>
                            <w:right w:val="none" w:sz="0" w:space="0" w:color="auto"/>
                          </w:divBdr>
                          <w:divsChild>
                            <w:div w:id="2096508552">
                              <w:marLeft w:val="0"/>
                              <w:marRight w:val="0"/>
                              <w:marTop w:val="0"/>
                              <w:marBottom w:val="0"/>
                              <w:divBdr>
                                <w:top w:val="none" w:sz="0" w:space="0" w:color="auto"/>
                                <w:left w:val="none" w:sz="0" w:space="0" w:color="auto"/>
                                <w:bottom w:val="none" w:sz="0" w:space="0" w:color="auto"/>
                                <w:right w:val="none" w:sz="0" w:space="0" w:color="auto"/>
                              </w:divBdr>
                              <w:divsChild>
                                <w:div w:id="1514683974">
                                  <w:marLeft w:val="0"/>
                                  <w:marRight w:val="0"/>
                                  <w:marTop w:val="0"/>
                                  <w:marBottom w:val="0"/>
                                  <w:divBdr>
                                    <w:top w:val="none" w:sz="0" w:space="0" w:color="auto"/>
                                    <w:left w:val="none" w:sz="0" w:space="0" w:color="auto"/>
                                    <w:bottom w:val="none" w:sz="0" w:space="0" w:color="auto"/>
                                    <w:right w:val="none" w:sz="0" w:space="0" w:color="auto"/>
                                  </w:divBdr>
                                </w:div>
                                <w:div w:id="815877325">
                                  <w:marLeft w:val="0"/>
                                  <w:marRight w:val="0"/>
                                  <w:marTop w:val="0"/>
                                  <w:marBottom w:val="0"/>
                                  <w:divBdr>
                                    <w:top w:val="none" w:sz="0" w:space="0" w:color="auto"/>
                                    <w:left w:val="none" w:sz="0" w:space="0" w:color="auto"/>
                                    <w:bottom w:val="none" w:sz="0" w:space="0" w:color="auto"/>
                                    <w:right w:val="none" w:sz="0" w:space="0" w:color="auto"/>
                                  </w:divBdr>
                                </w:div>
                                <w:div w:id="56363438">
                                  <w:marLeft w:val="0"/>
                                  <w:marRight w:val="0"/>
                                  <w:marTop w:val="0"/>
                                  <w:marBottom w:val="0"/>
                                  <w:divBdr>
                                    <w:top w:val="none" w:sz="0" w:space="0" w:color="auto"/>
                                    <w:left w:val="none" w:sz="0" w:space="0" w:color="auto"/>
                                    <w:bottom w:val="none" w:sz="0" w:space="0" w:color="auto"/>
                                    <w:right w:val="none" w:sz="0" w:space="0" w:color="auto"/>
                                  </w:divBdr>
                                </w:div>
                                <w:div w:id="16083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c.gov.ru/urovni-terroristicheskoy-opasnosti.html" TargetMode="External"/><Relationship Id="rId3" Type="http://schemas.microsoft.com/office/2007/relationships/stylesWithEffects" Target="stylesWithEffects.xml"/><Relationship Id="rId7" Type="http://schemas.openxmlformats.org/officeDocument/2006/relationships/hyperlink" Target="http://nac.gov.ru/urovni-terroristicheskoy-opasnos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8669</Characters>
  <Application>Microsoft Office Word</Application>
  <DocSecurity>0</DocSecurity>
  <Lines>72</Lines>
  <Paragraphs>20</Paragraphs>
  <ScaleCrop>false</ScaleCrop>
  <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2023-05-02T10:09:00Z</dcterms:created>
  <dcterms:modified xsi:type="dcterms:W3CDTF">2023-05-02T10:10:00Z</dcterms:modified>
</cp:coreProperties>
</file>