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ноября 2025 года</w:t>
            </w:r>
          </w:p>
        </w:tc>
        <w:tc>
          <w:tcPr>
            <w:tcW w:w="5103" w:type="dxa"/>
            <w:tcBorders>
              <w:top w:val="nil"/>
              <w:left w:val="nil"/>
              <w:bottom w:val="nil"/>
              <w:right w:val="nil"/>
            </w:tcBorders>
          </w:tcPr>
          <w:p>
            <w:pPr>
              <w:pStyle w:val="0"/>
              <w:jc w:val="right"/>
            </w:pPr>
            <w:r>
              <w:rPr>
                <w:sz w:val="24"/>
              </w:rPr>
              <w:t xml:space="preserve">N 210</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ГЛАВЫ РЕСПУБЛИКИ ДАГЕСТАН</w:t>
      </w:r>
    </w:p>
    <w:p>
      <w:pPr>
        <w:pStyle w:val="2"/>
        <w:jc w:val="both"/>
      </w:pPr>
      <w:r>
        <w:rPr>
          <w:sz w:val="24"/>
        </w:rPr>
      </w:r>
    </w:p>
    <w:p>
      <w:pPr>
        <w:pStyle w:val="2"/>
        <w:jc w:val="center"/>
      </w:pPr>
      <w:r>
        <w:rPr>
          <w:sz w:val="24"/>
        </w:rPr>
        <w:t xml:space="preserve">О ЗАПРЕТЕ ИСПОЛЬЗОВАНИЯ МАЛОМЕРНЫХ СУДОВ</w:t>
      </w:r>
    </w:p>
    <w:p>
      <w:pPr>
        <w:pStyle w:val="2"/>
        <w:jc w:val="center"/>
      </w:pPr>
      <w:r>
        <w:rPr>
          <w:sz w:val="24"/>
        </w:rPr>
        <w:t xml:space="preserve">В ОТДЕЛЬНЫХ ЗОНАХ (РАЙОНАХ) АКВАТОРИИ КАСПИЙСКОГО МОРЯ</w:t>
      </w:r>
    </w:p>
    <w:p>
      <w:pPr>
        <w:pStyle w:val="0"/>
        <w:jc w:val="both"/>
      </w:pPr>
      <w:r>
        <w:rPr>
          <w:sz w:val="24"/>
        </w:rPr>
      </w:r>
    </w:p>
    <w:p>
      <w:pPr>
        <w:pStyle w:val="0"/>
        <w:ind w:firstLine="540"/>
        <w:jc w:val="both"/>
      </w:pPr>
      <w:r>
        <w:rPr>
          <w:sz w:val="24"/>
        </w:rPr>
        <w:t xml:space="preserve">В соответствии с </w:t>
      </w:r>
      <w:hyperlink w:history="0" r:id="rId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пунктами 5</w:t>
        </w:r>
      </w:hyperlink>
      <w:r>
        <w:rPr>
          <w:sz w:val="24"/>
        </w:rPr>
        <w:t xml:space="preserve"> и </w:t>
      </w:r>
      <w:hyperlink w:history="0" r:id="rId8"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6</w:t>
        </w:r>
      </w:hyperlink>
      <w:r>
        <w:rPr>
          <w:sz w:val="24"/>
        </w:rPr>
        <w:t xml:space="preserve"> Указа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Президента Российской Федерации от 19 октября 2022 г. N 757) и в целях обеспечения общественной безопасности, усиления охраны военных, важных государственных и специальных объектов, объектов, обеспечивающих функционирование транспорта на территории Республики Дагестан, постановляю:</w:t>
      </w:r>
    </w:p>
    <w:bookmarkStart w:id="12" w:name="P12"/>
    <w:bookmarkEnd w:id="12"/>
    <w:p>
      <w:pPr>
        <w:pStyle w:val="0"/>
        <w:spacing w:before="240" w:lineRule="auto"/>
        <w:ind w:firstLine="540"/>
        <w:jc w:val="both"/>
      </w:pPr>
      <w:r>
        <w:rPr>
          <w:sz w:val="24"/>
        </w:rPr>
        <w:t xml:space="preserve">1. Запретить использование маломерных судов, включая мотолодки, парусные и парусно-моторные суда, гребные лодки, катера, яхты, гидроциклы, сапборды, суда на воздушной подушке, надувные плавательные средства, за исключением плавательных средств, используемых в служебно-хозяйственной деятельности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Управлением Федеральной службы войск национальной гвардии Российской Федерации по Республике Дагестан, Управлением Федеральной службы безопасности Российской Федерации по Республике Дагестан, Пограничным управлением Федеральной службы безопасности Российской Федерации по Республике Дагестан, Министерством внутренних дел по Республике Дагестан, Махачкалинским линейным управлением Министерства внутренних дел Российской Федерации на транспорте, Каспийской флотилией Министерства обороны Российской Федерации, Министерством по делам гражданской обороны, чрезвычайным ситуациям и ликвидации последствий стихийных бедствий Республики Дагестан, акционерным обществом "Махачкалинский морской торговый порт", Махачкалинским филиалом федерального государственного унитарного предприятия "Росморпорт", федеральным казенным учреждением "Южный авиационный поисково-спасательный центр", в зонах (районах) акватории Каспийского моря, определенных пунктом 2 границ морского порта Махачкала (Республика Дагестан), установленных распоряжением Правительства Российской Федерации от 23 августа 2010 г. N 1411-р, а также ограниченных отрезками прямых линий, соединяющих точки с координатами:</w:t>
      </w:r>
    </w:p>
    <w:p>
      <w:pPr>
        <w:pStyle w:val="0"/>
        <w:spacing w:before="240" w:lineRule="auto"/>
        <w:ind w:firstLine="540"/>
        <w:jc w:val="both"/>
      </w:pPr>
      <w:r>
        <w:rPr>
          <w:sz w:val="24"/>
        </w:rPr>
        <w:t xml:space="preserve">42°55'48 северной широты, 47°40'08 восточной долготы;</w:t>
      </w:r>
    </w:p>
    <w:p>
      <w:pPr>
        <w:pStyle w:val="0"/>
        <w:spacing w:before="240" w:lineRule="auto"/>
        <w:ind w:firstLine="540"/>
        <w:jc w:val="both"/>
      </w:pPr>
      <w:r>
        <w:rPr>
          <w:sz w:val="24"/>
        </w:rPr>
        <w:t xml:space="preserve">42°53'47 северной широты, 47°43'12 восточной долготы;</w:t>
      </w:r>
    </w:p>
    <w:p>
      <w:pPr>
        <w:pStyle w:val="0"/>
        <w:spacing w:before="240" w:lineRule="auto"/>
        <w:ind w:firstLine="540"/>
        <w:jc w:val="both"/>
      </w:pPr>
      <w:r>
        <w:rPr>
          <w:sz w:val="24"/>
        </w:rPr>
        <w:t xml:space="preserve">42°52'20 северной широты, 47°41'90 восточной долготы;</w:t>
      </w:r>
    </w:p>
    <w:p>
      <w:pPr>
        <w:pStyle w:val="0"/>
        <w:spacing w:before="240" w:lineRule="auto"/>
        <w:ind w:firstLine="540"/>
        <w:jc w:val="both"/>
      </w:pPr>
      <w:r>
        <w:rPr>
          <w:sz w:val="24"/>
        </w:rPr>
        <w:t xml:space="preserve">42°53'17 северной широты, 47°39'47 восточной долготы;</w:t>
      </w:r>
    </w:p>
    <w:p>
      <w:pPr>
        <w:pStyle w:val="0"/>
        <w:spacing w:before="240" w:lineRule="auto"/>
        <w:ind w:firstLine="540"/>
        <w:jc w:val="both"/>
      </w:pPr>
      <w:r>
        <w:rPr>
          <w:sz w:val="24"/>
        </w:rPr>
        <w:t xml:space="preserve">42°54'70 северной широты, 47°38'76 восточной долготы.</w:t>
      </w:r>
    </w:p>
    <w:p>
      <w:pPr>
        <w:pStyle w:val="0"/>
        <w:spacing w:before="240" w:lineRule="auto"/>
        <w:ind w:firstLine="540"/>
        <w:jc w:val="both"/>
      </w:pPr>
      <w:r>
        <w:rPr>
          <w:sz w:val="24"/>
        </w:rPr>
        <w:t xml:space="preserve">2. Установить, что запрет, предусмотренный </w:t>
      </w:r>
      <w:hyperlink w:history="0" w:anchor="P12" w:tooltip="1. Запретить использование маломерных судов, включая мотолодки, парусные и парусно-моторные суда, гребные лодки, катера, яхты, гидроциклы, сапборды, суда на воздушной подушке, надувные плавательные средства, за исключением плавательных средств, используемых в служебно-хозяйственной деятельности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Управлением Федеральной службы войск н...">
        <w:r>
          <w:rPr>
            <w:sz w:val="24"/>
            <w:color w:val="0000ff"/>
          </w:rPr>
          <w:t xml:space="preserve">пунктом 1</w:t>
        </w:r>
      </w:hyperlink>
      <w:r>
        <w:rPr>
          <w:sz w:val="24"/>
        </w:rPr>
        <w:t xml:space="preserve"> настоящего Указа, применяется до снятия режима (уровня базовой готовности), введенного </w:t>
      </w:r>
      <w:hyperlink w:history="0" r:id="rId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пунктом 5</w:t>
        </w:r>
      </w:hyperlink>
      <w:r>
        <w:rPr>
          <w:sz w:val="24"/>
        </w:rPr>
        <w:t xml:space="preserve"> Указа Президента Российской Федерации от 19 октября 2022 г. N 757.</w:t>
      </w:r>
    </w:p>
    <w:p>
      <w:pPr>
        <w:pStyle w:val="0"/>
        <w:spacing w:before="240" w:lineRule="auto"/>
        <w:ind w:firstLine="540"/>
        <w:jc w:val="both"/>
      </w:pPr>
      <w:r>
        <w:rPr>
          <w:sz w:val="24"/>
        </w:rPr>
        <w:t xml:space="preserve">3. Настоящий Указ вступает в силу со дня его официального опубликования.</w:t>
      </w:r>
    </w:p>
    <w:p>
      <w:pPr>
        <w:pStyle w:val="0"/>
        <w:jc w:val="both"/>
      </w:pPr>
      <w:r>
        <w:rPr>
          <w:sz w:val="24"/>
        </w:rPr>
      </w:r>
    </w:p>
    <w:p>
      <w:pPr>
        <w:pStyle w:val="0"/>
        <w:jc w:val="right"/>
      </w:pPr>
      <w:r>
        <w:rPr>
          <w:sz w:val="24"/>
        </w:rPr>
        <w:t xml:space="preserve">Глава</w:t>
      </w:r>
    </w:p>
    <w:p>
      <w:pPr>
        <w:pStyle w:val="0"/>
        <w:jc w:val="right"/>
      </w:pPr>
      <w:r>
        <w:rPr>
          <w:sz w:val="24"/>
        </w:rPr>
        <w:t xml:space="preserve">Республики Дагестан</w:t>
      </w:r>
    </w:p>
    <w:p>
      <w:pPr>
        <w:pStyle w:val="0"/>
        <w:jc w:val="right"/>
      </w:pPr>
      <w:r>
        <w:rPr>
          <w:sz w:val="24"/>
        </w:rPr>
        <w:t xml:space="preserve">С.МЕЛИКОВ</w:t>
      </w:r>
    </w:p>
    <w:p>
      <w:pPr>
        <w:pStyle w:val="0"/>
      </w:pPr>
      <w:r>
        <w:rPr>
          <w:sz w:val="24"/>
        </w:rPr>
        <w:t xml:space="preserve">Махачкала</w:t>
      </w:r>
    </w:p>
    <w:p>
      <w:pPr>
        <w:pStyle w:val="0"/>
        <w:spacing w:before="240" w:lineRule="auto"/>
      </w:pPr>
      <w:r>
        <w:rPr>
          <w:sz w:val="24"/>
        </w:rPr>
        <w:t xml:space="preserve">28 ноября 2025 года</w:t>
      </w:r>
    </w:p>
    <w:p>
      <w:pPr>
        <w:pStyle w:val="0"/>
        <w:spacing w:before="240" w:lineRule="auto"/>
      </w:pPr>
      <w:r>
        <w:rPr>
          <w:sz w:val="24"/>
        </w:rPr>
        <w:t xml:space="preserve">N 210</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Главы РД от 28.11.2025 N 210</w:t>
            <w:br/>
            <w:t>"О запрете использования маломерных судов в отдельных зонах (районах) акватории Каспий...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Указ Главы РД от 28.11.2025 N 210 "О запрете использования маломерных судов в отдельных зонах (районах) акватории Каспий...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55520&amp;date=14.01.2026&amp;dst=100021&amp;field=134" TargetMode = "External"/><Relationship Id="rId8" Type="http://schemas.openxmlformats.org/officeDocument/2006/relationships/hyperlink" Target="https://login.consultant.ru/link/?req=doc&amp;base=LAW&amp;n=455520&amp;date=14.01.2026&amp;dst=100024&amp;field=134" TargetMode = "External"/><Relationship Id="rId9" Type="http://schemas.openxmlformats.org/officeDocument/2006/relationships/hyperlink" Target="https://login.consultant.ru/link/?req=doc&amp;base=LAW&amp;n=455520&amp;date=14.01.2026&amp;dst=1000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Главы РД от 28.11.2025 N 210
"О запрете использования маломерных судов в отдельных зонах (районах) акватории Каспийского моря"</dc:title>
  <dcterms:created xsi:type="dcterms:W3CDTF">2026-01-14T07:57:10Z</dcterms:created>
</cp:coreProperties>
</file>